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44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Операционное дело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Илларионова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М. Челмакина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Спирина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И. Зайкина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Илларионова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А. Макеева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Сайфетдинова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М. Челмакина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Данейкина Елена Ивановна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Игонина Ирина Кузьминична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Калявина Алёна Вячеславовна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Надеева Анастасия Андреевна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Пшеничникова Диана Николаевна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margin">
                  <wp:posOffset>709930</wp:posOffset>
                </wp:positionV>
                <wp:extent cx="1764665" cy="99377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4665" cy="993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И. В. Илларионова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О. В. Спирина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Л. М. Челмакина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75pt;margin-top:55.899999999999999pt;width:138.95000000000002pt;height:78.2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И. В. Илларионова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О. В. Спирина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Л. М. Челмакина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(подпись)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14" w:bottom="824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4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